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1487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90EF74A" wp14:editId="7E31B60F">
            <wp:simplePos x="0" y="0"/>
            <wp:positionH relativeFrom="column">
              <wp:posOffset>2895600</wp:posOffset>
            </wp:positionH>
            <wp:positionV relativeFrom="paragraph">
              <wp:posOffset>9525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24"/>
          <w:lang w:val="uk-UA" w:eastAsia="ru-RU"/>
        </w:rPr>
      </w:pP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ЯМНИЦЬКА СІЛЬСЬКА РАДА</w:t>
      </w: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Івано-Франківського району Івано-Франківської області</w:t>
      </w: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Восьме демократичне скликання</w:t>
      </w:r>
    </w:p>
    <w:p w:rsidR="00F14876" w:rsidRPr="00F14876" w:rsidRDefault="00F14876" w:rsidP="00F1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Третя сесія</w:t>
      </w:r>
    </w:p>
    <w:p w:rsidR="00F14876" w:rsidRPr="00F14876" w:rsidRDefault="00F14876" w:rsidP="00F1487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D61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F14876" w:rsidRPr="00F14876" w:rsidRDefault="00F14876" w:rsidP="00F148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1487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F14876" w:rsidRPr="00F14876" w:rsidRDefault="00F14876" w:rsidP="00F1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грудня 2020 року</w:t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4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Ямниця</w:t>
      </w:r>
    </w:p>
    <w:p w:rsidR="00475255" w:rsidRDefault="00475255" w:rsidP="00E6092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FC7" w:rsidRDefault="00E6092E" w:rsidP="00F14876">
      <w:pPr>
        <w:tabs>
          <w:tab w:val="left" w:pos="82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15FC6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</w:t>
      </w:r>
      <w:r w:rsidR="004752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22FC7" w:rsidRDefault="00E6092E" w:rsidP="00F14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Пожежної безпеки </w:t>
      </w:r>
    </w:p>
    <w:p w:rsidR="00E6092E" w:rsidRDefault="00E6092E" w:rsidP="00F14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2021-2022 роки</w:t>
      </w:r>
    </w:p>
    <w:p w:rsidR="00E6092E" w:rsidRDefault="00E6092E" w:rsidP="00C23D1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459" w:rsidRDefault="00E6092E" w:rsidP="001D74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зниження ризиків виникнення пожеж та загроз, пов’язаних з пожежами, небезпечних для життя і здоров’я громадян, та </w:t>
      </w:r>
      <w:r w:rsidR="001D745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створеннясприятливих соціальних умов життєдіяльності населення, зменшення впливу негативних факторів пожеж на навколишнє природнє середовище, відповідно до Закону України «Про місцеве самоврядування в Україні», </w:t>
      </w:r>
      <w:r w:rsidR="00C748D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748DF" w:rsidRPr="00C748DF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з питань фінансів, бюджету, планування соціально-економічного розвитку, інвестицій та міжнародного співробітництва</w:t>
      </w:r>
      <w:r w:rsidR="004C63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7459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</w:p>
    <w:p w:rsidR="004C6351" w:rsidRPr="004C6351" w:rsidRDefault="004C6351" w:rsidP="004C6351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C63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 :</w:t>
      </w:r>
    </w:p>
    <w:p w:rsidR="007A4A04" w:rsidRDefault="001D7459" w:rsidP="007A4A0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Програму забезпечення пожежної безпеки на 2021-2022 роки (додається).</w:t>
      </w:r>
    </w:p>
    <w:p w:rsidR="007A4A04" w:rsidRPr="007A4A04" w:rsidRDefault="007A4A04" w:rsidP="007A4A0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Виконавчому</w:t>
      </w:r>
      <w:r w:rsidR="003A50BE"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апарату </w:t>
      </w: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сільської ради забезпечити</w:t>
      </w:r>
      <w:r w:rsid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організацію</w:t>
      </w:r>
      <w:r w:rsid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заходів</w:t>
      </w:r>
      <w:r w:rsid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Програми.</w:t>
      </w:r>
    </w:p>
    <w:p w:rsidR="007A4A04" w:rsidRPr="007A4A04" w:rsidRDefault="007A4A04" w:rsidP="007A4A0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0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Фінансовому відділу Ямницької сільської ради передбачати кошти для фінансування  Програми.</w:t>
      </w:r>
    </w:p>
    <w:p w:rsidR="007A4A04" w:rsidRPr="007A4A04" w:rsidRDefault="007A4A04" w:rsidP="007A4A0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0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Встановити, що бюджетні призначення для реалізації Програми  передбачаються щорічно при формуванні  бюджету і затверджуються рішенням сільської ради про бюджет на відповідний бюджетний період.</w:t>
      </w:r>
    </w:p>
    <w:p w:rsidR="008B3465" w:rsidRDefault="003F6C0F" w:rsidP="008B346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A0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з питань з питань фінансів, бюджету, планування соціально-економічного розвитку, інвестицій та міжнародного співробітництва (Литвинець І.П.)</w:t>
      </w:r>
      <w:r w:rsidR="00201D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DBB" w:rsidRPr="00C748DF" w:rsidRDefault="00201DBB" w:rsidP="00201DB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465" w:rsidRPr="003F6C0F" w:rsidRDefault="003F6C0F" w:rsidP="003F6C0F">
      <w:pPr>
        <w:spacing w:after="0" w:line="240" w:lineRule="auto"/>
        <w:jc w:val="both"/>
        <w:rPr>
          <w:rFonts w:ascii="Calibri" w:eastAsia="MS Mincho" w:hAnsi="Calibri" w:cs="Times New Roman"/>
          <w:b/>
          <w:lang w:val="uk-UA" w:eastAsia="ru-RU"/>
        </w:rPr>
      </w:pPr>
      <w:r w:rsidRPr="00C97957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C97957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3A50B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Роман Крутий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748DF" w:rsidRPr="00D611C3" w:rsidTr="00A411D3">
        <w:tc>
          <w:tcPr>
            <w:tcW w:w="5211" w:type="dxa"/>
          </w:tcPr>
          <w:p w:rsidR="00C748DF" w:rsidRDefault="00C748DF" w:rsidP="003A50BE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C748DF" w:rsidRDefault="00C748DF" w:rsidP="00C748D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C748DF" w:rsidRDefault="00C748DF" w:rsidP="00C748D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Рішенням сільської ради                                                                                          від 23 грудня 2020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  «Про затвердження</w:t>
            </w:r>
          </w:p>
          <w:p w:rsidR="00C748DF" w:rsidRDefault="00C748DF" w:rsidP="00C74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 затвердження Програми забезпечення пожежної безпеки                                                    на 2021-2022</w:t>
            </w:r>
            <w:r w:rsidRPr="00D97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C748DF" w:rsidRDefault="00C748DF" w:rsidP="003A50BE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45FE" w:rsidRDefault="008B3465" w:rsidP="008B34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</w:p>
    <w:p w:rsidR="00056BCA" w:rsidRDefault="005B45FE" w:rsidP="008B34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B3465" w:rsidRPr="00D97467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r w:rsidR="003A5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3FB9" w:rsidRPr="00D97467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пожежної безпеки</w:t>
      </w:r>
    </w:p>
    <w:p w:rsidR="001E3FB9" w:rsidRDefault="001E3FB9" w:rsidP="008B34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роки</w:t>
      </w:r>
    </w:p>
    <w:p w:rsidR="00204215" w:rsidRPr="00D97467" w:rsidRDefault="00204215" w:rsidP="008B34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215" w:rsidRPr="00C748DF" w:rsidRDefault="00204215" w:rsidP="00C748DF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4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Замовник програми: </w:t>
      </w:r>
      <w:r w:rsidR="003B7EA5"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B7E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державна пожежно-рятувальна частина управління державної служби з надзвичайних ситуацій України в Івано-Франківській області</w:t>
      </w:r>
      <w:r w:rsidR="003B7EA5" w:rsidRP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B7E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C748DF" w:rsidRDefault="00204215" w:rsidP="003A50BE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Розробник програми: </w:t>
      </w:r>
      <w:r w:rsidR="003A50BE"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A5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державна пожежно-рятувальна частина управління державної служби з надзвичайних ситуацій України в Івано-Франківській області</w:t>
      </w:r>
      <w:r w:rsidR="003A50BE" w:rsidRP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</w:p>
    <w:p w:rsidR="003A50BE" w:rsidRDefault="00C748DF" w:rsidP="003A50BE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Співрозробник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Програми: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Ямницька сільська рада</w:t>
      </w:r>
      <w:r w:rsid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04215" w:rsidRPr="003A50BE" w:rsidRDefault="00204215" w:rsidP="003A50BE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Термін реалізації програми: </w:t>
      </w:r>
      <w:r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2021-2022 роки</w:t>
      </w:r>
    </w:p>
    <w:p w:rsidR="00204215" w:rsidRPr="00A411D3" w:rsidRDefault="00A411D3" w:rsidP="00A411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04215" w:rsidRPr="00A411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Етапи фінансування програми:</w:t>
      </w:r>
      <w:r w:rsidR="00204215" w:rsidRPr="00A41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щорічно.</w:t>
      </w:r>
    </w:p>
    <w:p w:rsidR="00204215" w:rsidRPr="00204215" w:rsidRDefault="00204215" w:rsidP="00A411D3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4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Обсяги фінансування програми:</w:t>
      </w:r>
      <w:r w:rsidR="00C748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500,0 тис.</w:t>
      </w:r>
      <w:r w:rsidR="003A50BE"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грн.</w:t>
      </w:r>
    </w:p>
    <w:p w:rsidR="005F7CFA" w:rsidRDefault="005F7CFA" w:rsidP="00C23D13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34D68" w:rsidRPr="00E6092E" w:rsidRDefault="00534D68" w:rsidP="00C23D13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118"/>
        <w:gridCol w:w="3119"/>
      </w:tblGrid>
      <w:tr w:rsidR="005F7CFA" w:rsidRPr="003A50BE" w:rsidTr="005F7CFA">
        <w:tc>
          <w:tcPr>
            <w:tcW w:w="1555" w:type="dxa"/>
            <w:vMerge w:val="restart"/>
            <w:vAlign w:val="center"/>
          </w:tcPr>
          <w:p w:rsidR="005F7CFA" w:rsidRPr="00E6092E" w:rsidRDefault="005F7CFA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8221" w:type="dxa"/>
            <w:gridSpan w:val="3"/>
          </w:tcPr>
          <w:p w:rsidR="005F7CFA" w:rsidRPr="00E6092E" w:rsidRDefault="005F7CFA" w:rsidP="00E6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F52766" w:rsidRPr="00D611C3" w:rsidTr="008C7697">
        <w:tc>
          <w:tcPr>
            <w:tcW w:w="1555" w:type="dxa"/>
            <w:vMerge/>
          </w:tcPr>
          <w:p w:rsidR="00F52766" w:rsidRPr="00E6092E" w:rsidRDefault="00F52766" w:rsidP="00C23D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A50BE" w:rsidRDefault="00F52766" w:rsidP="003A5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  <w:p w:rsidR="00F52766" w:rsidRPr="00E6092E" w:rsidRDefault="00F52766" w:rsidP="003A5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(тис.</w:t>
            </w:r>
            <w:r w:rsidR="003A50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грн.)</w:t>
            </w:r>
          </w:p>
        </w:tc>
        <w:tc>
          <w:tcPr>
            <w:tcW w:w="6237" w:type="dxa"/>
            <w:gridSpan w:val="2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т.ч. за джерелами фінансування</w:t>
            </w:r>
          </w:p>
        </w:tc>
      </w:tr>
      <w:tr w:rsidR="00F52766" w:rsidRPr="00E6092E" w:rsidTr="005F7CFA">
        <w:tc>
          <w:tcPr>
            <w:tcW w:w="1555" w:type="dxa"/>
            <w:vMerge/>
          </w:tcPr>
          <w:p w:rsidR="00F52766" w:rsidRPr="00E6092E" w:rsidRDefault="00F52766" w:rsidP="00C23D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A50B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Сільський бюджет</w:t>
            </w:r>
          </w:p>
          <w:p w:rsidR="00F52766" w:rsidRPr="00E6092E" w:rsidRDefault="00E3281F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(тис.</w:t>
            </w:r>
            <w:r w:rsidR="003A50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грн.)</w:t>
            </w:r>
          </w:p>
        </w:tc>
        <w:tc>
          <w:tcPr>
            <w:tcW w:w="3119" w:type="dxa"/>
          </w:tcPr>
          <w:p w:rsidR="00E3281F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джерела</w:t>
            </w:r>
          </w:p>
          <w:p w:rsidR="00F52766" w:rsidRPr="00E6092E" w:rsidRDefault="00E3281F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(тис.</w:t>
            </w:r>
            <w:r w:rsidR="003A50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грн.)</w:t>
            </w:r>
          </w:p>
        </w:tc>
      </w:tr>
      <w:tr w:rsidR="00F52766" w:rsidRPr="00E6092E" w:rsidTr="005F7CFA">
        <w:tc>
          <w:tcPr>
            <w:tcW w:w="1555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2021-2022</w:t>
            </w:r>
          </w:p>
        </w:tc>
        <w:tc>
          <w:tcPr>
            <w:tcW w:w="1984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500,0</w:t>
            </w:r>
          </w:p>
        </w:tc>
        <w:tc>
          <w:tcPr>
            <w:tcW w:w="3118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500,0</w:t>
            </w:r>
          </w:p>
        </w:tc>
        <w:tc>
          <w:tcPr>
            <w:tcW w:w="3119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F52766" w:rsidRPr="00E6092E" w:rsidTr="005F7CFA">
        <w:tc>
          <w:tcPr>
            <w:tcW w:w="1555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092E">
              <w:rPr>
                <w:rFonts w:ascii="Times New Roman" w:hAnsi="Times New Roman" w:cs="Times New Roman"/>
                <w:lang w:val="uk-UA"/>
              </w:rPr>
              <w:t>в т.ч.</w:t>
            </w:r>
          </w:p>
        </w:tc>
        <w:tc>
          <w:tcPr>
            <w:tcW w:w="1984" w:type="dxa"/>
          </w:tcPr>
          <w:p w:rsidR="00F52766" w:rsidRPr="00E6092E" w:rsidRDefault="00F52766" w:rsidP="00C23D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F52766" w:rsidRPr="00E6092E" w:rsidRDefault="00F52766" w:rsidP="00C23D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F52766" w:rsidRPr="00E6092E" w:rsidTr="005F7CFA">
        <w:tc>
          <w:tcPr>
            <w:tcW w:w="1555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1984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250,0</w:t>
            </w:r>
          </w:p>
        </w:tc>
        <w:tc>
          <w:tcPr>
            <w:tcW w:w="3118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250,0</w:t>
            </w:r>
          </w:p>
        </w:tc>
        <w:tc>
          <w:tcPr>
            <w:tcW w:w="3119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F52766" w:rsidRPr="00E6092E" w:rsidTr="005F7CFA">
        <w:tc>
          <w:tcPr>
            <w:tcW w:w="1555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</w:tc>
        <w:tc>
          <w:tcPr>
            <w:tcW w:w="1984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250,0</w:t>
            </w:r>
          </w:p>
        </w:tc>
        <w:tc>
          <w:tcPr>
            <w:tcW w:w="3118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lang w:val="uk-UA"/>
              </w:rPr>
              <w:t>250,0</w:t>
            </w:r>
          </w:p>
        </w:tc>
        <w:tc>
          <w:tcPr>
            <w:tcW w:w="3119" w:type="dxa"/>
          </w:tcPr>
          <w:p w:rsidR="00F52766" w:rsidRPr="00E6092E" w:rsidRDefault="00F52766" w:rsidP="00E6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609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</w:tbl>
    <w:p w:rsidR="00534D68" w:rsidRPr="00E6092E" w:rsidRDefault="00534D68" w:rsidP="00E6092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3D13" w:rsidRDefault="00C23D13" w:rsidP="00C23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Очікуваними результатами виконання </w:t>
      </w:r>
      <w:r w:rsidR="00056BCA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ограми є:</w:t>
      </w:r>
    </w:p>
    <w:p w:rsidR="00C23D13" w:rsidRPr="00D97467" w:rsidRDefault="00C23D13" w:rsidP="00C23D1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зниження ризиків виникнення пожеж та загроз, пов’язаних з пожежами, небезпечних для життя і здоров’я громадян, та створення сприятливих соціальних умов життєдіяльності населення, зменшення впливу негативних факторів пожеж на навколишнє середовище;</w:t>
      </w:r>
    </w:p>
    <w:p w:rsidR="00C23D13" w:rsidRDefault="00532707" w:rsidP="00C23D1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безпечне функціонування установ і організацій, а також суб’єктів господарювання, об’єктів життєдіяльності населення, об’єктів економіки району  тощо;</w:t>
      </w:r>
    </w:p>
    <w:p w:rsidR="00532707" w:rsidRPr="00D97467" w:rsidRDefault="00532707" w:rsidP="00C23D1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мінімальний час прибуття пожежних підрозділів до місця імовірної пожежі за рахунок за рахунок оптимальної дислокації пожежних підрозділів у міській та сільській місцевості;</w:t>
      </w:r>
    </w:p>
    <w:p w:rsidR="00532707" w:rsidRPr="00D97467" w:rsidRDefault="00532707" w:rsidP="00C23D1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необхідної кількості справних джерел протипожежного водопостачання.</w:t>
      </w:r>
    </w:p>
    <w:p w:rsidR="00532707" w:rsidRPr="00CE3242" w:rsidRDefault="00532707" w:rsidP="0053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проведення звітності: 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>щорічно.</w:t>
      </w:r>
    </w:p>
    <w:p w:rsidR="00CE3242" w:rsidRPr="00CE3242" w:rsidRDefault="00CE3242" w:rsidP="00CE3242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1D3" w:rsidRDefault="00056BCA" w:rsidP="00532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Замовник П</w:t>
      </w:r>
      <w:r w:rsidR="00532707" w:rsidRPr="00D97467">
        <w:rPr>
          <w:rFonts w:ascii="Times New Roman" w:hAnsi="Times New Roman" w:cs="Times New Roman"/>
          <w:b/>
          <w:sz w:val="28"/>
          <w:szCs w:val="28"/>
          <w:lang w:val="uk-UA"/>
        </w:rPr>
        <w:t>рограми:</w:t>
      </w:r>
    </w:p>
    <w:p w:rsidR="00A411D3" w:rsidRDefault="00A411D3" w:rsidP="00A41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11D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E3242" w:rsidRPr="00A4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0B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</w:t>
      </w:r>
      <w:r w:rsidR="00BD188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пожежно-</w:t>
      </w:r>
    </w:p>
    <w:p w:rsidR="00A411D3" w:rsidRDefault="00A411D3" w:rsidP="00A41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рятувальн</w:t>
      </w:r>
      <w:r w:rsidR="00BD188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</w:t>
      </w:r>
      <w:r w:rsidR="00BD188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</w:t>
      </w:r>
    </w:p>
    <w:p w:rsidR="00A411D3" w:rsidRDefault="00A411D3" w:rsidP="00A41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служби з надзвичайних ситуацій </w:t>
      </w:r>
    </w:p>
    <w:p w:rsidR="00532707" w:rsidRPr="00806BB4" w:rsidRDefault="00A411D3" w:rsidP="005327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 в Івано-Франківській області</w:t>
      </w:r>
      <w:r w:rsidRPr="003A50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C74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      </w:t>
      </w:r>
      <w:r w:rsidR="00E609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Терешкун</w:t>
      </w:r>
      <w:proofErr w:type="spellEnd"/>
    </w:p>
    <w:p w:rsidR="00806BB4" w:rsidRDefault="00806BB4" w:rsidP="00532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467" w:rsidRDefault="00E6092E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056BCA">
        <w:rPr>
          <w:rFonts w:ascii="Times New Roman" w:hAnsi="Times New Roman" w:cs="Times New Roman"/>
          <w:b/>
          <w:sz w:val="28"/>
          <w:szCs w:val="28"/>
          <w:lang w:val="uk-UA"/>
        </w:rPr>
        <w:t>ерівник П</w:t>
      </w:r>
      <w:r w:rsidR="00D97467">
        <w:rPr>
          <w:rFonts w:ascii="Times New Roman" w:hAnsi="Times New Roman" w:cs="Times New Roman"/>
          <w:b/>
          <w:sz w:val="28"/>
          <w:szCs w:val="28"/>
          <w:lang w:val="uk-UA"/>
        </w:rPr>
        <w:t>рограми:</w:t>
      </w:r>
      <w:r w:rsidR="00806BB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_____________</w:t>
      </w:r>
      <w:r w:rsidR="003F6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41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r w:rsidR="003F6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Проценко </w:t>
      </w: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0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465" w:rsidRDefault="008B3465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1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BB4" w:rsidRDefault="00806BB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B64" w:rsidRDefault="008B1B64" w:rsidP="00A41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B64" w:rsidRDefault="008B1B64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B64" w:rsidRDefault="008B1B64" w:rsidP="00C7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F" w:rsidRPr="00D97467" w:rsidRDefault="003F6C0F" w:rsidP="003F6C0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</w:t>
      </w: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пожежної безпеки</w:t>
      </w:r>
      <w:r w:rsidR="00BD1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на 2021-2022 роки</w:t>
      </w:r>
    </w:p>
    <w:p w:rsidR="003F6C0F" w:rsidRDefault="003F6C0F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465" w:rsidRPr="00D97467" w:rsidRDefault="008B3465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І. Загальна частина</w:t>
      </w:r>
    </w:p>
    <w:p w:rsidR="00486877" w:rsidRPr="00D97467" w:rsidRDefault="00486877" w:rsidP="008B3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465" w:rsidRPr="00D97467" w:rsidRDefault="008B3465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попередження надзвичайних ситуацій та забезпечення пожежної безпеки у </w:t>
      </w:r>
      <w:r w:rsidRPr="003F6C0F">
        <w:rPr>
          <w:rFonts w:ascii="Times New Roman" w:hAnsi="Times New Roman" w:cs="Times New Roman"/>
          <w:sz w:val="28"/>
          <w:szCs w:val="28"/>
          <w:lang w:val="uk-UA"/>
        </w:rPr>
        <w:t>Ямницькій сільській раді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на період 2021-2022 роки (далі – програма) створена на основі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розв’язання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захисту суспільства, національного надбання і довкілля від надзвичайних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та природн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ього характеру, пожеж і їх наслідків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. Вона визнає шляхи вдосконалення системи попередження, локації та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ліквідації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пожежної безпеки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6877" w:rsidRPr="003F6C0F">
        <w:rPr>
          <w:rFonts w:ascii="Times New Roman" w:hAnsi="Times New Roman" w:cs="Times New Roman"/>
          <w:sz w:val="28"/>
          <w:szCs w:val="28"/>
          <w:lang w:val="uk-UA"/>
        </w:rPr>
        <w:t xml:space="preserve">громаді, </w:t>
      </w:r>
      <w:r w:rsidR="00486877" w:rsidRPr="00D97467">
        <w:rPr>
          <w:rFonts w:ascii="Times New Roman" w:hAnsi="Times New Roman" w:cs="Times New Roman"/>
          <w:sz w:val="28"/>
          <w:szCs w:val="28"/>
          <w:lang w:val="uk-UA"/>
        </w:rPr>
        <w:t>організаційні засади їх функціонування, зміцнення технічної і ресурсної бази, напрями державного управління у цій сфері.</w:t>
      </w:r>
    </w:p>
    <w:p w:rsidR="00486877" w:rsidRPr="00D97467" w:rsidRDefault="00486877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стан справ з виникненням пожеж та їх наслідками свідчить про необхідність вирішення проблеми охорони життя людей, національного багатства і навколишнього природнього середовища, що потребує посилення протипожежного захисту об’єктів та населених пунктів. </w:t>
      </w:r>
    </w:p>
    <w:p w:rsidR="00A553DA" w:rsidRPr="00D97467" w:rsidRDefault="00A553D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Обмежене фінансування заходів, щодо підвищення рівня протипожежного захисту населених пунктів та об’єктів призвело до того, що 2 державній пожежно-рятувальній частині Управління державної служби України з питань надзвичайних ситуацій понад 80 відсотків наявної пожежної техніки та обладнання вичерпали свій моторесурс і за строками використання підлягають списанню.</w:t>
      </w:r>
    </w:p>
    <w:p w:rsidR="00A553DA" w:rsidRPr="00D97467" w:rsidRDefault="00A553D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Особливо проблемною залишається ситуація із забезпеченням пожежної безпеки у сільській місцевості, де виникає більше третини загальної кількості пожеж, а гасіння ускладняється значною віддаленістю підрозділів державної пожежної охорони та низьким рівнем технічної оснащеності протипожежних формувань сільськогосподарських об’єктів.</w:t>
      </w:r>
    </w:p>
    <w:p w:rsidR="00A553DA" w:rsidRPr="00D97467" w:rsidRDefault="00A553D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До реформування аграрного  сектора економіки існувало близько 12 підрозділів сільських пожежних команд, які ліквідовували майже половину пожеж, що виникали в сільській місцевості. На сьогодні тільки один підрозділ місцевої пожежної охорони виконує завдання за призначенням. Мінімальна </w:t>
      </w:r>
      <w:r w:rsidR="00DC407A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підрозділів місцевості пожежної охорони, які ще необхідно створити в </w:t>
      </w:r>
      <w:r w:rsidR="00DC407A" w:rsidRPr="003F6C0F">
        <w:rPr>
          <w:rFonts w:ascii="Times New Roman" w:hAnsi="Times New Roman" w:cs="Times New Roman"/>
          <w:sz w:val="28"/>
          <w:szCs w:val="28"/>
          <w:lang w:val="uk-UA"/>
        </w:rPr>
        <w:t>громаді,</w:t>
      </w:r>
      <w:r w:rsidR="00DC407A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становить 3 підрозділи, для яких потрібно закупити відповідну кількість одиниць пожежної техніки.</w:t>
      </w:r>
    </w:p>
    <w:p w:rsidR="00DC407A" w:rsidRPr="00D97467" w:rsidRDefault="00DC407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даний час створено державний пожежно-рятувальний пост в с. Ямниця на базі ПАТ «Завод ТОС «Барва», що потребує значних коштів на забезпечення належного рівня готовності пожежно-рятувальної служби до дій за призначенням.</w:t>
      </w:r>
    </w:p>
    <w:p w:rsidR="00DC407A" w:rsidRPr="00D97467" w:rsidRDefault="00DC407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Велику небезпеку в </w:t>
      </w:r>
      <w:r w:rsidRPr="003F6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громаді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створюють потенційно небезпечні об’єкти різних форм власності, які у своєму виробництві застосовують значну кількість легкозаймистих та горючих рідин, сильнодіючих отруйних речовин, а на даний час особовий склад підрозділу не забезпечений належним чином ні обладнанням, ні  спеціальним захисним одягом для ліквідації даних пожеж.</w:t>
      </w:r>
    </w:p>
    <w:p w:rsidR="00DC407A" w:rsidRPr="00D97467" w:rsidRDefault="00DC407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Проблемою також є забезпечення населених пунктів системами протипожежного водопостачання.</w:t>
      </w:r>
    </w:p>
    <w:p w:rsidR="00DC407A" w:rsidRPr="00D97467" w:rsidRDefault="00DC407A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Варто зауважити, що від наявності </w:t>
      </w:r>
      <w:r w:rsidR="003418C8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необхідної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кількості справних джерел </w:t>
      </w:r>
      <w:r w:rsidR="003418C8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протипожежного водопостачання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залежи</w:t>
      </w:r>
      <w:r w:rsidR="003418C8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оперативне реагування на поже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жі та інші надзвичайні ситуації, що дає </w:t>
      </w:r>
      <w:r w:rsidR="003418C8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змогу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уникнути людських жертв та значних матеріальних з</w:t>
      </w:r>
      <w:r w:rsidR="003418C8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битків, зменшити час та фінансові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витрати на їх ліквідацію.</w:t>
      </w:r>
    </w:p>
    <w:p w:rsidR="003418C8" w:rsidRPr="00D97467" w:rsidRDefault="003418C8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кожним роком проблемні питання, пов’язані із забезпеченням пожежної безпеки об’єктів господарювання і населених пунктів, загострюються.</w:t>
      </w:r>
    </w:p>
    <w:p w:rsidR="003418C8" w:rsidRPr="00D97467" w:rsidRDefault="003418C8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вищезгаданих проблем значною мірою зумовлена відсутністю належного нормативно-правового, фінансового, матеріально-технічного забезпечення, вирішенням питань соціального, інформаційного та науково-технічного характеру. Гострота таких проблем вимагає вжиття організаційних та інженерно-технічних заходів з боку органів виконавчої влади та місцевого самоврядування. Особлива увага при цьому повинна приділятися питанням нормативного і правового характеру, удосконаленню системи профілактики, створенню та зміцненню матеріально-технічної бази пожежної охорони.</w:t>
      </w:r>
    </w:p>
    <w:p w:rsidR="00F72C2E" w:rsidRPr="00D97467" w:rsidRDefault="00F72C2E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зв’язку з тим, що проблема пожежної безпеки є складовою частиною національної безпеки, вона потребує здійснення першочергових заходів, на виконання яких розроблена ця програма, з урахуванням пропозицій зацікавлених місцевих органів виконавчої влади.</w:t>
      </w:r>
    </w:p>
    <w:p w:rsidR="00F72C2E" w:rsidRPr="00D97467" w:rsidRDefault="00F72C2E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2C2E" w:rsidRPr="00D97467" w:rsidRDefault="00056BCA" w:rsidP="00F72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ІІ. Мета п</w:t>
      </w:r>
      <w:r w:rsidR="00F72C2E"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F72C2E" w:rsidRPr="00D97467" w:rsidRDefault="00F72C2E" w:rsidP="00F72C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2C2E" w:rsidRPr="00D97467" w:rsidRDefault="00F72C2E" w:rsidP="00F72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Програму розроблено з метою створення механізму забезпечення заходів пожежної безпеки в </w:t>
      </w:r>
      <w:r w:rsidRPr="003F6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громаді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умов для реалізації державної політики у сфері пожежної безпеки.</w:t>
      </w:r>
    </w:p>
    <w:p w:rsidR="00F72C2E" w:rsidRPr="00D97467" w:rsidRDefault="00F72C2E" w:rsidP="00F72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Метою програми є:</w:t>
      </w:r>
    </w:p>
    <w:p w:rsidR="00F72C2E" w:rsidRPr="00D97467" w:rsidRDefault="00F72C2E" w:rsidP="00F72C2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захисту життя та здоров’я населення, навколишнього природнього середовища і об’єктів від впливу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небезпечних факторів пожеж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2C2E" w:rsidRPr="00D97467" w:rsidRDefault="00F72C2E" w:rsidP="00F72C2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пожежноїбезпеки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населених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пунктах, поліпшення матеріально-технічного стану підрозділів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пожежної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охорони длявиконання покладених на них завдань за призначенням;</w:t>
      </w:r>
    </w:p>
    <w:p w:rsidR="00F72C2E" w:rsidRPr="00D97467" w:rsidRDefault="001448E0" w:rsidP="00F72C2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F72C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, оснащення та оптимальна дислокація підрозділів місцевої пожежної охорони населених пунктів у сільській 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>місцевості</w:t>
      </w:r>
      <w:r w:rsidR="00F72C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розроблення підрозділів щодо їх 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72C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ліквідації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="00F72C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лідків пожеж у 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>сільській</w:t>
      </w:r>
      <w:r w:rsidR="00F72C2E"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місцевості;</w:t>
      </w:r>
    </w:p>
    <w:p w:rsidR="00D97467" w:rsidRPr="00806BB4" w:rsidRDefault="00F72C2E" w:rsidP="001448E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систем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протипожежного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на об’єктах та в населених пунктах у </w:t>
      </w:r>
      <w:r w:rsidR="001448E0" w:rsidRPr="00D97467">
        <w:rPr>
          <w:rFonts w:ascii="Times New Roman" w:hAnsi="Times New Roman" w:cs="Times New Roman"/>
          <w:sz w:val="28"/>
          <w:szCs w:val="28"/>
          <w:lang w:val="uk-UA"/>
        </w:rPr>
        <w:t>відповідність</w:t>
      </w:r>
      <w:r w:rsidRPr="00D97467">
        <w:rPr>
          <w:rFonts w:ascii="Times New Roman" w:hAnsi="Times New Roman" w:cs="Times New Roman"/>
          <w:sz w:val="28"/>
          <w:szCs w:val="28"/>
          <w:lang w:val="uk-UA"/>
        </w:rPr>
        <w:t xml:space="preserve"> до вимог нормативно-правових актів, норм і правил.</w:t>
      </w:r>
    </w:p>
    <w:p w:rsidR="00D97467" w:rsidRPr="00D97467" w:rsidRDefault="00D97467" w:rsidP="0014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8E0" w:rsidRPr="00D97467" w:rsidRDefault="001448E0" w:rsidP="00144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sz w:val="28"/>
          <w:szCs w:val="28"/>
          <w:lang w:val="uk-UA"/>
        </w:rPr>
        <w:t>ІІІ. Шляхи і способи вирішення проблеми</w:t>
      </w:r>
    </w:p>
    <w:p w:rsidR="001448E0" w:rsidRPr="00D97467" w:rsidRDefault="001448E0" w:rsidP="00806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8C8" w:rsidRPr="00D97467" w:rsidRDefault="001448E0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пожежної безпеки полягає у комплексному, поетапному вирішенні проблемних питань у сфері пожежної безпеки,  гарантованому захисті суспільства та навколишнього середовища від пожеж і їх наслідків, впровадженні організаційних засад функціонування системи забезпечення пожежної безпеки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органів влади всіх рівнів, зміцненні правової, науково-технічної і ресурсної бази, що дасть змогу суттєво зменшити в громаді кількість пожеж та надзвичайних ситуацій.</w:t>
      </w:r>
    </w:p>
    <w:p w:rsidR="001448E0" w:rsidRPr="00D97467" w:rsidRDefault="001448E0" w:rsidP="008B3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рамках програми передбачається здійснити ряд заходів, які обґрунтовують вибір оптимальних шляхів розв’язання проблем, враховують переваги та недоліки альтернативних варіантів, що дасть можливість: </w:t>
      </w:r>
    </w:p>
    <w:p w:rsidR="001448E0" w:rsidRPr="00D97467" w:rsidRDefault="001448E0" w:rsidP="001448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розробити економічні, управлінські</w:t>
      </w:r>
      <w:r w:rsidR="004B43F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правові механізми, спрямовані на здійснення заходів, передбачених програмою, для запобігання та ліквідації наслідків пожеж;</w:t>
      </w:r>
    </w:p>
    <w:p w:rsidR="004B43F2" w:rsidRPr="00D97467" w:rsidRDefault="004B43F2" w:rsidP="00DB55D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урахуванням 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місцевих умов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кількісно оцінити ризик і наслідки пожеж, визначити 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оптимальнукількість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підрозділів 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місцевоїпожежноїохоронид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 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протипожежного захисту населених пунктів у сільській місцевості, 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межі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територій, які повинні ними обслуговуватися, утворити такі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підрозділи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за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езпе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 їх матеріально-фінансо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 середовище</w:t>
      </w:r>
      <w:r w:rsidR="00DB55DB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B55DB" w:rsidRPr="00D97467" w:rsidRDefault="00DB55DB" w:rsidP="001448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здійснити комплекс заходів, встановити порядок і </w:t>
      </w:r>
      <w:r w:rsidR="00BA061A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способи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розв’язання проблем, пов’язани</w:t>
      </w:r>
      <w:r w:rsidR="00BA061A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приведенням систем протипожежного </w:t>
      </w:r>
      <w:r w:rsidR="00BA061A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водопостачання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населених пунктах та на об’єктах, а також систем протипожежного захисту будинків підвищеної поверховості у відповідність до вимог нормативно-</w:t>
      </w:r>
      <w:r w:rsidR="00BA061A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актів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норм та правил.</w:t>
      </w:r>
    </w:p>
    <w:p w:rsidR="00BA061A" w:rsidRPr="00D97467" w:rsidRDefault="00BA061A" w:rsidP="00BA06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вирішення проблеми забезпечення пожежної безпеки об’єктів та населених пунктів району необхідно врегулювати питання щодо:  </w:t>
      </w:r>
    </w:p>
    <w:p w:rsidR="00BA061A" w:rsidRPr="00D97467" w:rsidRDefault="00BA061A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утворення та розвитку єдиної </w:t>
      </w:r>
      <w:r w:rsidR="0087042E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системизабезпечення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пожежної безпеки як однієї </w:t>
      </w:r>
      <w:r w:rsidR="0087042E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зіскладових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безпеки;</w:t>
      </w:r>
    </w:p>
    <w:p w:rsidR="00BA061A" w:rsidRPr="00D97467" w:rsidRDefault="00BA061A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об’єднання можливостей місцевих органів виконавчої влади, органів місцевого самоврядування, </w:t>
      </w:r>
      <w:r w:rsidR="0087042E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установ та організацій ( у тому числі громадських);</w:t>
      </w:r>
    </w:p>
    <w:p w:rsidR="00BA061A" w:rsidRPr="00D97467" w:rsidRDefault="0087042E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державного нагляду за станом 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пожежної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 об’єктів та населених пунктів для своєчасної протидії пожежам і 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зменшення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негативних наслідків;</w:t>
      </w:r>
    </w:p>
    <w:p w:rsidR="0087042E" w:rsidRPr="00D97467" w:rsidRDefault="0087042E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удосконалення та підвищення 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ефективності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суб’єктів системи забезпечення пожежної безпеки;</w:t>
      </w:r>
    </w:p>
    <w:p w:rsidR="0087042E" w:rsidRPr="00D97467" w:rsidRDefault="0087042E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ефективного 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розв’язання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 із забезпечення протипожежного захисту </w:t>
      </w:r>
      <w:r w:rsidRPr="003F6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громади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оперативного реагування на пожежі;</w:t>
      </w:r>
    </w:p>
    <w:p w:rsidR="0087042E" w:rsidRPr="00D97467" w:rsidRDefault="0087042E" w:rsidP="00BA06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сприяння більш гнучкому та оперативному впливу на організацію роботи щодо 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фінансування та вишукування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r w:rsidR="00DA2B7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 джерел надходження коштів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розвитку матеріально-технічної бази підрозділу пожежної охорони.</w:t>
      </w:r>
    </w:p>
    <w:p w:rsidR="00DA2B77" w:rsidRPr="00D97467" w:rsidRDefault="00DA2B77" w:rsidP="00DA2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2B77" w:rsidRPr="00D97467" w:rsidRDefault="00DA2B77" w:rsidP="00DA2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5B45F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Етапи реалізації програми</w:t>
      </w:r>
    </w:p>
    <w:p w:rsidR="00DA2B77" w:rsidRPr="00D97467" w:rsidRDefault="00DA2B77" w:rsidP="00DA2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2B77" w:rsidRPr="00D97467" w:rsidRDefault="00DA2B77" w:rsidP="00DA2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Реалізацію Програми планується здійснити протягом 2021-2022 років.</w:t>
      </w:r>
    </w:p>
    <w:p w:rsidR="00DA2B77" w:rsidRPr="00D97467" w:rsidRDefault="00DA2B77" w:rsidP="00394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2B77" w:rsidRPr="00D97467" w:rsidRDefault="00DA2B77" w:rsidP="00DA2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2B77" w:rsidRPr="008B1B64" w:rsidRDefault="00DA2B77" w:rsidP="008B1B6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EC23A6"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Д</w:t>
      </w: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жерела фінансування програми</w:t>
      </w:r>
    </w:p>
    <w:p w:rsidR="00DA2B77" w:rsidRPr="00D97467" w:rsidRDefault="00EC23A6" w:rsidP="00DA2B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програми здійснюється за рахунок коштів Ямницької сільської ради, а також інших, передбачених законом, джерел.</w:t>
      </w:r>
    </w:p>
    <w:p w:rsidR="00EC23A6" w:rsidRPr="00D97467" w:rsidRDefault="00EC23A6" w:rsidP="00DA2B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Обсяги фінансування програми уточнюються під час складання проекту сільського бюджету на відповідні роки у межах видатків, що передбачаються для кожного головного розпорядника коштів, відповідального за виконання заходів програми.</w:t>
      </w:r>
    </w:p>
    <w:p w:rsidR="00EC23A6" w:rsidRPr="00D97467" w:rsidRDefault="00EC23A6" w:rsidP="00DA2B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23A6" w:rsidRPr="00D97467" w:rsidRDefault="00EC23A6" w:rsidP="00EC23A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23A6" w:rsidRPr="00D97467" w:rsidRDefault="00EC23A6" w:rsidP="00EC23A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І. </w:t>
      </w:r>
      <w:r w:rsidR="00623B1F" w:rsidRP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результати від реалізації програми</w:t>
      </w:r>
    </w:p>
    <w:p w:rsidR="00623B1F" w:rsidRPr="00D97467" w:rsidRDefault="00623B1F" w:rsidP="00EC23A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23B1F" w:rsidRPr="00D97467" w:rsidRDefault="00623B1F" w:rsidP="00623B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 </w:t>
      </w:r>
      <w:proofErr w:type="spellStart"/>
      <w:r w:rsidR="0039486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виконаннякомплексу</w:t>
      </w:r>
      <w:proofErr w:type="spellEnd"/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завдань, </w:t>
      </w:r>
      <w:r w:rsidR="0039486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передбачених програмою та спрямованих на забезпечення протипожежного захисту об</w:t>
      </w:r>
      <w:r w:rsidR="0039486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="0039486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 w:rsidR="0039486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населених пунктів, є:</w:t>
      </w:r>
    </w:p>
    <w:p w:rsidR="005C3012" w:rsidRPr="00D97467" w:rsidRDefault="00394862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зниження ризиків виникнення пожеж та загроз, пов’язаних з пожежами, небезпечних для життя і здоров’я громадян, створення сприятливих соціальних умов життєдіяльності населення, зменшення впливу негативних для життя і </w:t>
      </w:r>
      <w:r w:rsidR="005C301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громадян, створення сприятливи</w:t>
      </w:r>
      <w:r w:rsidR="005C3012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соціальних умов життєдіяльності населення, зменшення впливу негативних факторів пожеж на навколишнє природне середовище;</w:t>
      </w:r>
    </w:p>
    <w:p w:rsidR="00394862" w:rsidRPr="00D97467" w:rsidRDefault="005C3012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безпечного функціонування установ і організацій, а також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суб’єктів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господарювання,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об’єктів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життєдіяльності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населення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об’єктів економіки </w:t>
      </w:r>
      <w:r w:rsidR="00F43101" w:rsidRPr="003F6C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громади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тощо;</w:t>
      </w:r>
    </w:p>
    <w:p w:rsidR="00F43101" w:rsidRPr="00D97467" w:rsidRDefault="00F43101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зменшення на об’єктах і в населених пунктах кількості пожеж, випадків загибелі та травмування людей, економічних втрат і матеріальних збитків;</w:t>
      </w:r>
    </w:p>
    <w:p w:rsidR="00F43101" w:rsidRPr="00D97467" w:rsidRDefault="00F43101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своєчасне виявлення осередків загорянь, оповіщення про них людейта підрозділів пожежної охорони, видалення продуктів горіння за допомогою системи протипожежної автоматики;</w:t>
      </w:r>
    </w:p>
    <w:p w:rsidR="00F43101" w:rsidRPr="00D97467" w:rsidRDefault="003E3F6E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мінімальний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при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бутт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пожежних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підрозділів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місцяймовірної пожежі за </w:t>
      </w:r>
      <w:r w:rsidR="00F43101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рахунок</w:t>
      </w: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оптимальної дислокації пожежних підрозділів у містах та сільській місцевості;</w:t>
      </w:r>
    </w:p>
    <w:p w:rsidR="003E3F6E" w:rsidRPr="00D97467" w:rsidRDefault="003E3F6E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необхідної кількості справних джерел протипожежного водопостачання;</w:t>
      </w:r>
    </w:p>
    <w:p w:rsidR="003E3F6E" w:rsidRPr="00D97467" w:rsidRDefault="003E3F6E" w:rsidP="0039486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своєчасного оперативного реагуван</w:t>
      </w:r>
      <w:r w:rsidR="00D97467" w:rsidRPr="00D974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на пожежі від пожежних гідрантів, внутрішніх протипожежних водогонів, природних і штучних водоймищ, інших інженерних споруд водопостачання.</w:t>
      </w:r>
    </w:p>
    <w:p w:rsidR="00D97467" w:rsidRPr="00D97467" w:rsidRDefault="00D97467" w:rsidP="00D97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4862" w:rsidRPr="00D97467" w:rsidRDefault="00394862" w:rsidP="00623B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22C6" w:rsidRDefault="008E6919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E6919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Секретар сільської  ради                                                            Юрій Проценко</w:t>
      </w:r>
      <w:r w:rsidR="00D974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p w:rsidR="004F22C6" w:rsidRDefault="004F22C6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F22C6" w:rsidRDefault="004F22C6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F22C6" w:rsidRDefault="004F22C6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F22C6" w:rsidRPr="004F22C6" w:rsidRDefault="004F22C6" w:rsidP="004F22C6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A4A04" w:rsidRDefault="007A4A04" w:rsidP="00E235F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A04" w:rsidRDefault="007A4A04" w:rsidP="00E235F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A04" w:rsidRDefault="007A4A04" w:rsidP="00E235F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A04" w:rsidRDefault="007A4A04" w:rsidP="00E235F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5F3" w:rsidRDefault="00C748DF" w:rsidP="00E235F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E235F3" w:rsidRPr="00DF1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E235F3" w:rsidRDefault="00C748DF" w:rsidP="00E235F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</w:t>
      </w:r>
      <w:r w:rsidR="00E235F3" w:rsidRPr="00DF119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5F3" w:rsidRPr="00D60AAF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E235F3" w:rsidRPr="00E235F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</w:p>
    <w:p w:rsidR="00C748DF" w:rsidRDefault="003F6C0F" w:rsidP="00E235F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748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пожежної </w:t>
      </w:r>
      <w:r w:rsidR="00E235F3" w:rsidRPr="00E235F3"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</w:p>
    <w:p w:rsidR="00E235F3" w:rsidRDefault="00C748DF" w:rsidP="00E235F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E235F3" w:rsidRPr="00E235F3">
        <w:rPr>
          <w:rFonts w:ascii="Times New Roman" w:hAnsi="Times New Roman" w:cs="Times New Roman"/>
          <w:sz w:val="28"/>
          <w:szCs w:val="28"/>
          <w:lang w:val="uk-UA"/>
        </w:rPr>
        <w:t>2021-2022 роки</w:t>
      </w:r>
    </w:p>
    <w:p w:rsidR="00E235F3" w:rsidRDefault="00C748DF" w:rsidP="00E235F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235F3" w:rsidRPr="00DF1199" w:rsidRDefault="00E235F3" w:rsidP="00E235F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35F3" w:rsidRPr="00DA2035" w:rsidRDefault="00E235F3" w:rsidP="00E235F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організаційних заходів виконання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468"/>
      </w:tblGrid>
      <w:tr w:rsidR="00E235F3" w:rsidTr="001C2363">
        <w:tc>
          <w:tcPr>
            <w:tcW w:w="704" w:type="dxa"/>
          </w:tcPr>
          <w:p w:rsidR="00E235F3" w:rsidRPr="00DF1199" w:rsidRDefault="00E235F3" w:rsidP="001C2363">
            <w:pPr>
              <w:tabs>
                <w:tab w:val="left" w:pos="8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3" w:type="dxa"/>
          </w:tcPr>
          <w:p w:rsidR="00E235F3" w:rsidRPr="00DF1199" w:rsidRDefault="00E235F3" w:rsidP="001C2363">
            <w:pPr>
              <w:tabs>
                <w:tab w:val="left" w:pos="8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26" w:type="dxa"/>
          </w:tcPr>
          <w:p w:rsidR="00E235F3" w:rsidRPr="00DF1199" w:rsidRDefault="00E235F3" w:rsidP="001C2363">
            <w:pPr>
              <w:tabs>
                <w:tab w:val="left" w:pos="8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2468" w:type="dxa"/>
          </w:tcPr>
          <w:p w:rsidR="00E235F3" w:rsidRPr="00DF1199" w:rsidRDefault="00E235F3" w:rsidP="001C2363">
            <w:pPr>
              <w:tabs>
                <w:tab w:val="left" w:pos="8020"/>
              </w:tabs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</w:t>
            </w:r>
            <w:r w:rsidR="003F6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E235F3" w:rsidTr="00E235F3">
        <w:trPr>
          <w:trHeight w:val="3890"/>
        </w:trPr>
        <w:tc>
          <w:tcPr>
            <w:tcW w:w="704" w:type="dxa"/>
          </w:tcPr>
          <w:p w:rsidR="00E235F3" w:rsidRPr="00DF1199" w:rsidRDefault="00E235F3" w:rsidP="001C2363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E235F3" w:rsidRPr="00E235F3" w:rsidRDefault="00E235F3" w:rsidP="00E23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матеріальної технічної бази, закупівля ПММ, закупівля запасних частин, форменого одягу,  взуття,  спеціального одягу та спорядження, засобів освітлення та зв’язку, засобів пожежогасіння та засобів захисту органів дихання та зору, пожежно-технічне обладнання, пожежні рукава та рятувальні засоби, тощо</w:t>
            </w:r>
          </w:p>
          <w:p w:rsidR="00E235F3" w:rsidRPr="00D60AAF" w:rsidRDefault="00E235F3" w:rsidP="00E23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235F3" w:rsidRPr="00D60AAF" w:rsidRDefault="00E235F3" w:rsidP="001C23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468" w:type="dxa"/>
          </w:tcPr>
          <w:p w:rsidR="00E235F3" w:rsidRPr="00DA2035" w:rsidRDefault="00E235F3" w:rsidP="001C2363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  <w:tr w:rsidR="00E235F3" w:rsidRPr="00E235F3" w:rsidTr="001C2363">
        <w:trPr>
          <w:trHeight w:val="1590"/>
        </w:trPr>
        <w:tc>
          <w:tcPr>
            <w:tcW w:w="704" w:type="dxa"/>
          </w:tcPr>
          <w:p w:rsidR="00E235F3" w:rsidRDefault="00C748DF" w:rsidP="00E235F3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E235F3" w:rsidRPr="00E235F3" w:rsidRDefault="00E235F3" w:rsidP="00E23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Аварійно-рятувальне обладнання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2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бензоріз, генератор, мотопомпа, гідравлічні інструменти, тощо); радіостанція, комп’ютерна техніка, тощо  </w:t>
            </w:r>
          </w:p>
        </w:tc>
        <w:tc>
          <w:tcPr>
            <w:tcW w:w="2126" w:type="dxa"/>
          </w:tcPr>
          <w:p w:rsidR="00E235F3" w:rsidRPr="00D60AAF" w:rsidRDefault="00E235F3" w:rsidP="00E235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468" w:type="dxa"/>
          </w:tcPr>
          <w:p w:rsidR="00E235F3" w:rsidRPr="00DA2035" w:rsidRDefault="00E235F3" w:rsidP="00E235F3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кошторисних призначень</w:t>
            </w:r>
          </w:p>
        </w:tc>
      </w:tr>
    </w:tbl>
    <w:p w:rsidR="004F22C6" w:rsidRDefault="004F22C6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CC6F32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сільської  ради                                            Юрій Проценко</w:t>
      </w: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35F3" w:rsidRDefault="00E235F3" w:rsidP="00D97467">
      <w:pPr>
        <w:pStyle w:val="a3"/>
        <w:tabs>
          <w:tab w:val="left" w:pos="6937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E235F3" w:rsidSect="008B1B64">
      <w:pgSz w:w="12240" w:h="15840"/>
      <w:pgMar w:top="851" w:right="6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954"/>
    <w:multiLevelType w:val="hybridMultilevel"/>
    <w:tmpl w:val="1FDCA70A"/>
    <w:lvl w:ilvl="0" w:tplc="F790E656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12D8C"/>
    <w:multiLevelType w:val="hybridMultilevel"/>
    <w:tmpl w:val="F9444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876"/>
    <w:multiLevelType w:val="hybridMultilevel"/>
    <w:tmpl w:val="410857AA"/>
    <w:lvl w:ilvl="0" w:tplc="3A5C4F4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6C79C2"/>
    <w:multiLevelType w:val="hybridMultilevel"/>
    <w:tmpl w:val="3E98B97C"/>
    <w:lvl w:ilvl="0" w:tplc="582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255FCD"/>
    <w:multiLevelType w:val="hybridMultilevel"/>
    <w:tmpl w:val="5D24BA26"/>
    <w:lvl w:ilvl="0" w:tplc="845E9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1D3481"/>
    <w:multiLevelType w:val="hybridMultilevel"/>
    <w:tmpl w:val="FFEA633A"/>
    <w:lvl w:ilvl="0" w:tplc="C1F68230">
      <w:start w:val="1"/>
      <w:numFmt w:val="decimal"/>
      <w:lvlText w:val="%1."/>
      <w:lvlJc w:val="left"/>
      <w:pPr>
        <w:ind w:left="648" w:hanging="372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44A07403"/>
    <w:multiLevelType w:val="hybridMultilevel"/>
    <w:tmpl w:val="20746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0088"/>
    <w:multiLevelType w:val="hybridMultilevel"/>
    <w:tmpl w:val="04323FDA"/>
    <w:lvl w:ilvl="0" w:tplc="01A2F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3E37C6"/>
    <w:multiLevelType w:val="hybridMultilevel"/>
    <w:tmpl w:val="3E98B97C"/>
    <w:lvl w:ilvl="0" w:tplc="582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3FB9"/>
    <w:rsid w:val="00056BCA"/>
    <w:rsid w:val="000A2B14"/>
    <w:rsid w:val="001448E0"/>
    <w:rsid w:val="001D7459"/>
    <w:rsid w:val="001E3FB9"/>
    <w:rsid w:val="00201DBB"/>
    <w:rsid w:val="00204215"/>
    <w:rsid w:val="00213422"/>
    <w:rsid w:val="002C6C9E"/>
    <w:rsid w:val="003418C8"/>
    <w:rsid w:val="00394862"/>
    <w:rsid w:val="003A50BE"/>
    <w:rsid w:val="003B7EA5"/>
    <w:rsid w:val="003C6C4E"/>
    <w:rsid w:val="003D1C2E"/>
    <w:rsid w:val="003E3F6E"/>
    <w:rsid w:val="003F6C0F"/>
    <w:rsid w:val="00475255"/>
    <w:rsid w:val="00486877"/>
    <w:rsid w:val="004B43F2"/>
    <w:rsid w:val="004C6351"/>
    <w:rsid w:val="004F22C6"/>
    <w:rsid w:val="00532707"/>
    <w:rsid w:val="00534D68"/>
    <w:rsid w:val="00555E26"/>
    <w:rsid w:val="005B45FE"/>
    <w:rsid w:val="005C3012"/>
    <w:rsid w:val="005F7CFA"/>
    <w:rsid w:val="00623B1F"/>
    <w:rsid w:val="006447B0"/>
    <w:rsid w:val="00692FA7"/>
    <w:rsid w:val="007A4A04"/>
    <w:rsid w:val="00806BB4"/>
    <w:rsid w:val="0087042E"/>
    <w:rsid w:val="008B1B64"/>
    <w:rsid w:val="008B3465"/>
    <w:rsid w:val="008E6919"/>
    <w:rsid w:val="009717EC"/>
    <w:rsid w:val="00A411D3"/>
    <w:rsid w:val="00A553DA"/>
    <w:rsid w:val="00AA18A1"/>
    <w:rsid w:val="00AF1739"/>
    <w:rsid w:val="00B15FC6"/>
    <w:rsid w:val="00BA061A"/>
    <w:rsid w:val="00BD1885"/>
    <w:rsid w:val="00C23D13"/>
    <w:rsid w:val="00C70D66"/>
    <w:rsid w:val="00C748DF"/>
    <w:rsid w:val="00C81792"/>
    <w:rsid w:val="00CC6F32"/>
    <w:rsid w:val="00CE3242"/>
    <w:rsid w:val="00D611C3"/>
    <w:rsid w:val="00D97467"/>
    <w:rsid w:val="00DA2B77"/>
    <w:rsid w:val="00DB55DB"/>
    <w:rsid w:val="00DC407A"/>
    <w:rsid w:val="00E235F3"/>
    <w:rsid w:val="00E3281F"/>
    <w:rsid w:val="00E6092E"/>
    <w:rsid w:val="00EC23A6"/>
    <w:rsid w:val="00F14876"/>
    <w:rsid w:val="00F22FC7"/>
    <w:rsid w:val="00F43101"/>
    <w:rsid w:val="00F52766"/>
    <w:rsid w:val="00F7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4AB"/>
  <w15:docId w15:val="{30BFF11E-A65E-47A7-88FD-CE3FE22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B9"/>
    <w:pPr>
      <w:ind w:left="720"/>
      <w:contextualSpacing/>
    </w:pPr>
  </w:style>
  <w:style w:type="table" w:styleId="a4">
    <w:name w:val="Table Grid"/>
    <w:basedOn w:val="a1"/>
    <w:uiPriority w:val="39"/>
    <w:rsid w:val="005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9150</Words>
  <Characters>5217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Diakov</cp:lastModifiedBy>
  <cp:revision>30</cp:revision>
  <cp:lastPrinted>2020-12-21T13:37:00Z</cp:lastPrinted>
  <dcterms:created xsi:type="dcterms:W3CDTF">2020-12-18T20:47:00Z</dcterms:created>
  <dcterms:modified xsi:type="dcterms:W3CDTF">2021-01-04T10:04:00Z</dcterms:modified>
</cp:coreProperties>
</file>